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6CE14A1A" w14:textId="09BBE4B3" w:rsidR="00085B35" w:rsidRDefault="00085B35" w:rsidP="00085B3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667AAD">
        <w:rPr>
          <w:rFonts w:ascii="Verdana" w:hAnsi="Verdana"/>
          <w:b/>
          <w:caps/>
          <w:color w:val="002060"/>
          <w:sz w:val="26"/>
          <w:szCs w:val="26"/>
          <w:highlight w:val="cyan"/>
          <w:lang w:val="en-GB"/>
        </w:rPr>
        <w:t>MAVİ</w:t>
      </w:r>
      <w:r w:rsidRPr="00667AAD">
        <w:rPr>
          <w:rFonts w:ascii="Verdana" w:hAnsi="Verdana"/>
          <w:b/>
          <w:caps/>
          <w:color w:val="002060"/>
          <w:sz w:val="26"/>
          <w:szCs w:val="26"/>
          <w:lang w:val="en-GB"/>
        </w:rPr>
        <w:t xml:space="preserve"> KISIMLARI DOLDURUNUZ</w:t>
      </w:r>
    </w:p>
    <w:p w14:paraId="086D8024" w14:textId="77777777" w:rsidR="004144DA" w:rsidRDefault="004144DA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389C5DE4" w14:textId="09D9ED33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D7157D">
        <w:rPr>
          <w:rFonts w:ascii="Verdana" w:hAnsi="Verdana" w:cs="Calibri"/>
          <w:i/>
          <w:highlight w:val="cyan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D7157D">
        <w:rPr>
          <w:rFonts w:ascii="Verdana" w:hAnsi="Verdana" w:cs="Calibri"/>
          <w:i/>
          <w:highlight w:val="cyan"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D7157D">
        <w:rPr>
          <w:rFonts w:ascii="Verdana" w:hAnsi="Verdana" w:cs="Calibri"/>
          <w:highlight w:val="cyan"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CAC7C5A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D7157D">
        <w:rPr>
          <w:rFonts w:ascii="Verdana" w:hAnsi="Verdana" w:cs="Calibri"/>
          <w:lang w:val="en-GB"/>
        </w:rPr>
        <w:t>-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D7157D" w:rsidRPr="007673FA" w14:paraId="56E939D3" w14:textId="77777777" w:rsidTr="00D7157D">
        <w:trPr>
          <w:trHeight w:val="334"/>
        </w:trPr>
        <w:tc>
          <w:tcPr>
            <w:tcW w:w="2358" w:type="dxa"/>
            <w:shd w:val="clear" w:color="auto" w:fill="FFFFFF"/>
          </w:tcPr>
          <w:p w14:paraId="56E939CF" w14:textId="2D801C63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024" w:type="dxa"/>
            <w:shd w:val="clear" w:color="auto" w:fill="FFFFFF"/>
          </w:tcPr>
          <w:p w14:paraId="56E939D0" w14:textId="26CDCE78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5570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  <w:tc>
          <w:tcPr>
            <w:tcW w:w="2203" w:type="dxa"/>
            <w:shd w:val="clear" w:color="auto" w:fill="FFFFFF"/>
          </w:tcPr>
          <w:p w14:paraId="56E939D1" w14:textId="20799715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3" w:type="dxa"/>
            <w:shd w:val="clear" w:color="auto" w:fill="FFFFFF"/>
          </w:tcPr>
          <w:p w14:paraId="56E939D2" w14:textId="73A5B287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  <w:tr w:rsidR="00D7157D" w:rsidRPr="007673FA" w14:paraId="56E939D8" w14:textId="77777777" w:rsidTr="00D7157D">
        <w:trPr>
          <w:trHeight w:val="412"/>
        </w:trPr>
        <w:tc>
          <w:tcPr>
            <w:tcW w:w="2358" w:type="dxa"/>
            <w:shd w:val="clear" w:color="auto" w:fill="FFFFFF"/>
          </w:tcPr>
          <w:p w14:paraId="56E939D4" w14:textId="54453571" w:rsidR="00D7157D" w:rsidRPr="00DF7065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14:paraId="3207F4E2" w14:textId="77777777" w:rsidR="00D7157D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 xml:space="preserve">Uygun seçeneği </w:t>
            </w:r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br/>
              <w:t>belirtiniz:</w:t>
            </w:r>
          </w:p>
          <w:p w14:paraId="764A593D" w14:textId="77777777" w:rsidR="00D7157D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Junior: 10 yıldan az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deneyim,</w:t>
            </w:r>
          </w:p>
          <w:p w14:paraId="1D4E82E1" w14:textId="77777777" w:rsidR="00D7157D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Intermediate: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10 yıl ile 20 yıl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arası deneyim,</w:t>
            </w:r>
          </w:p>
          <w:p w14:paraId="56E939D5" w14:textId="67FFC62E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Senior: 20 yıldan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fazla deneyim</w:t>
            </w:r>
          </w:p>
        </w:tc>
        <w:tc>
          <w:tcPr>
            <w:tcW w:w="2203" w:type="dxa"/>
            <w:shd w:val="clear" w:color="auto" w:fill="FFFFFF"/>
          </w:tcPr>
          <w:p w14:paraId="56E939D6" w14:textId="1A95DFF4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93" w:type="dxa"/>
            <w:shd w:val="clear" w:color="auto" w:fill="FFFFFF"/>
          </w:tcPr>
          <w:p w14:paraId="56E939D7" w14:textId="32557BF6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  <w:tr w:rsidR="00D7157D" w:rsidRPr="007673FA" w14:paraId="56E939DD" w14:textId="77777777" w:rsidTr="00D7157D">
        <w:tc>
          <w:tcPr>
            <w:tcW w:w="2358" w:type="dxa"/>
            <w:shd w:val="clear" w:color="auto" w:fill="FFFFFF"/>
          </w:tcPr>
          <w:p w14:paraId="56E939D9" w14:textId="3F443595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024" w:type="dxa"/>
            <w:shd w:val="clear" w:color="auto" w:fill="FFFFFF"/>
          </w:tcPr>
          <w:p w14:paraId="56E939DA" w14:textId="36C86262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  <w:tc>
          <w:tcPr>
            <w:tcW w:w="2203" w:type="dxa"/>
            <w:shd w:val="clear" w:color="auto" w:fill="FFFFFF"/>
          </w:tcPr>
          <w:p w14:paraId="56E939DB" w14:textId="17F347F7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56E939DC" w14:textId="400F592D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D7157D" w:rsidRPr="007673FA" w14:paraId="56E939E2" w14:textId="77777777" w:rsidTr="00D7157D">
        <w:tc>
          <w:tcPr>
            <w:tcW w:w="2358" w:type="dxa"/>
            <w:shd w:val="clear" w:color="auto" w:fill="FFFFFF"/>
          </w:tcPr>
          <w:p w14:paraId="56E939DE" w14:textId="60CC2462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56E939E1" w14:textId="129CBE90" w:rsidR="00D7157D" w:rsidRPr="007673FA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</w:p>
        </w:tc>
      </w:tr>
    </w:tbl>
    <w:p w14:paraId="6584382E" w14:textId="6FE917DA" w:rsidR="00D7157D" w:rsidRDefault="00D7157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E4" w14:textId="50C6610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2005"/>
        <w:gridCol w:w="2228"/>
        <w:gridCol w:w="2494"/>
      </w:tblGrid>
      <w:tr w:rsidR="00116FBB" w:rsidRPr="009F5B61" w14:paraId="56E939EA" w14:textId="77777777" w:rsidTr="00D7157D">
        <w:trPr>
          <w:trHeight w:val="314"/>
        </w:trPr>
        <w:tc>
          <w:tcPr>
            <w:tcW w:w="2194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8" w:type="dxa"/>
            <w:gridSpan w:val="3"/>
            <w:shd w:val="clear" w:color="auto" w:fill="FFFFFF"/>
          </w:tcPr>
          <w:p w14:paraId="4B44F088" w14:textId="09E2113F" w:rsidR="00D7157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İzmir Yüksek Teknoloji Enstitüsü</w:t>
            </w:r>
            <w:r w:rsidR="009D167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-İYTE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</w:p>
          <w:p w14:paraId="56E939E9" w14:textId="31FCBB11" w:rsidR="00116FBB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[İzmir</w:t>
            </w:r>
            <w:r w:rsidR="009D167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Institute of Technology</w:t>
            </w:r>
            <w:r w:rsidR="009D167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-IZTECH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]</w:t>
            </w:r>
          </w:p>
        </w:tc>
      </w:tr>
      <w:tr w:rsidR="00D7157D" w:rsidRPr="005E466D" w14:paraId="56E939F1" w14:textId="77777777" w:rsidTr="00D7157D">
        <w:trPr>
          <w:trHeight w:val="314"/>
        </w:trPr>
        <w:tc>
          <w:tcPr>
            <w:tcW w:w="2194" w:type="dxa"/>
            <w:shd w:val="clear" w:color="auto" w:fill="FFFFFF"/>
          </w:tcPr>
          <w:p w14:paraId="56E939EB" w14:textId="2A9960D0" w:rsidR="00D7157D" w:rsidRPr="005E466D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D7157D" w:rsidRPr="005E466D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D7157D" w:rsidRPr="005E466D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8" w:type="dxa"/>
            <w:shd w:val="clear" w:color="auto" w:fill="FFFFFF"/>
          </w:tcPr>
          <w:p w14:paraId="56E939EE" w14:textId="0E40B6A2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IZMIR03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D7157D" w:rsidRDefault="00D7157D" w:rsidP="00D7157D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74A9041D" w:rsidR="00D7157D" w:rsidRPr="005E466D" w:rsidRDefault="00D7157D" w:rsidP="00D7157D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2" w:type="dxa"/>
            <w:shd w:val="clear" w:color="auto" w:fill="FFFFFF"/>
          </w:tcPr>
          <w:p w14:paraId="56E939F0" w14:textId="41535E94" w:rsidR="00D7157D" w:rsidRPr="005E466D" w:rsidRDefault="00D7157D" w:rsidP="00D7157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D7157D" w:rsidRPr="005E466D" w14:paraId="56E939F6" w14:textId="77777777" w:rsidTr="00D7157D">
        <w:trPr>
          <w:trHeight w:val="472"/>
        </w:trPr>
        <w:tc>
          <w:tcPr>
            <w:tcW w:w="2194" w:type="dxa"/>
            <w:shd w:val="clear" w:color="auto" w:fill="FFFFFF"/>
          </w:tcPr>
          <w:p w14:paraId="56E939F2" w14:textId="77777777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78" w:type="dxa"/>
            <w:shd w:val="clear" w:color="auto" w:fill="FFFFFF"/>
          </w:tcPr>
          <w:p w14:paraId="56E939F3" w14:textId="314344F6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Gülbahçe Köyü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TR 35430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Urla-İZMİR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D7157D" w:rsidRPr="005E466D" w:rsidRDefault="00D7157D" w:rsidP="00D7157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2" w:type="dxa"/>
            <w:shd w:val="clear" w:color="auto" w:fill="FFFFFF"/>
          </w:tcPr>
          <w:p w14:paraId="56E939F5" w14:textId="068E62DF" w:rsidR="00D7157D" w:rsidRPr="005E466D" w:rsidRDefault="00D7157D" w:rsidP="00D7157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Türkiye/TR</w:t>
            </w:r>
          </w:p>
        </w:tc>
      </w:tr>
      <w:tr w:rsidR="00D7157D" w:rsidRPr="005E466D" w14:paraId="56E939FC" w14:textId="77777777" w:rsidTr="00D7157D">
        <w:trPr>
          <w:trHeight w:val="811"/>
        </w:trPr>
        <w:tc>
          <w:tcPr>
            <w:tcW w:w="2194" w:type="dxa"/>
            <w:shd w:val="clear" w:color="auto" w:fill="FFFFFF"/>
          </w:tcPr>
          <w:p w14:paraId="56E939F7" w14:textId="1187779C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78" w:type="dxa"/>
            <w:shd w:val="clear" w:color="auto" w:fill="FFFFFF"/>
          </w:tcPr>
          <w:p w14:paraId="56E939F8" w14:textId="1B23865F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Hatice Eser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ÖKTEN</w:t>
            </w:r>
            <w:r w:rsidR="007F19C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KIRAN</w:t>
            </w:r>
            <w:bookmarkStart w:id="0" w:name="_GoBack"/>
            <w:bookmarkEnd w:id="0"/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Erasmus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Institutional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A" w14:textId="0957A17D" w:rsidR="00D7157D" w:rsidRPr="00C17AB2" w:rsidRDefault="00D7157D" w:rsidP="00D7157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72" w:type="dxa"/>
            <w:shd w:val="clear" w:color="auto" w:fill="FFFFFF"/>
          </w:tcPr>
          <w:p w14:paraId="01DAFDCC" w14:textId="77777777" w:rsidR="00D7157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erasmuskoordinator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br/>
              <w:t>@iyte.edu.tr</w:t>
            </w:r>
          </w:p>
          <w:p w14:paraId="56E939FB" w14:textId="4947363A" w:rsidR="00D7157D" w:rsidRPr="005E466D" w:rsidRDefault="00D7157D" w:rsidP="00D7157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+90 232 750 6853</w:t>
            </w:r>
          </w:p>
        </w:tc>
      </w:tr>
      <w:tr w:rsidR="00D7157D" w:rsidRPr="005F0E76" w14:paraId="56E93A03" w14:textId="77777777" w:rsidTr="00D7157D">
        <w:trPr>
          <w:trHeight w:val="811"/>
        </w:trPr>
        <w:tc>
          <w:tcPr>
            <w:tcW w:w="2194" w:type="dxa"/>
            <w:shd w:val="clear" w:color="auto" w:fill="FFFFFF"/>
          </w:tcPr>
          <w:p w14:paraId="56E939FD" w14:textId="4750640E" w:rsidR="00D7157D" w:rsidRPr="00474BE2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D7157D" w:rsidRPr="005E466D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8" w:type="dxa"/>
            <w:shd w:val="clear" w:color="auto" w:fill="FFFFFF"/>
          </w:tcPr>
          <w:p w14:paraId="56E93A00" w14:textId="3216CD00" w:rsidR="00D7157D" w:rsidRPr="005E466D" w:rsidRDefault="00D7157D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D7157D" w:rsidRPr="00782942" w:rsidRDefault="00D7157D" w:rsidP="00D7157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D7157D" w:rsidRPr="00F8532D" w:rsidRDefault="00D7157D" w:rsidP="00D7157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2" w:type="dxa"/>
            <w:shd w:val="clear" w:color="auto" w:fill="FFFFFF"/>
          </w:tcPr>
          <w:p w14:paraId="7F97F706" w14:textId="7F2D7F52" w:rsidR="00D7157D" w:rsidRDefault="000F3DA4" w:rsidP="00D7157D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7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7157D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53773E7" w:rsidR="00D7157D" w:rsidRPr="00F8532D" w:rsidRDefault="000F3DA4" w:rsidP="00D715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7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D7157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7157D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23DFFF96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D584193" w14:textId="3725B72B" w:rsidR="00D7157D" w:rsidRDefault="00D7157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2629D189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7"/>
        <w:gridCol w:w="2230"/>
        <w:gridCol w:w="2266"/>
        <w:gridCol w:w="210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592854EB" w:rsidR="00A75662" w:rsidRPr="007673FA" w:rsidRDefault="00D715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13862F1B" w:rsidR="00A75662" w:rsidRPr="007673FA" w:rsidRDefault="00D7157D" w:rsidP="00D7157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E478946" w:rsidR="00A75662" w:rsidRPr="007673FA" w:rsidRDefault="00310BA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t xml:space="preserve">BU KISMI BOŞ </w:t>
            </w: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br/>
              <w:t>BIRAKINIZ.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0844BD56" w:rsidR="007967A9" w:rsidRPr="007673FA" w:rsidRDefault="00D7157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4CC491D9" w14:textId="77777777" w:rsidR="00D7157D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  <w:p w14:paraId="56E93A15" w14:textId="2C1C1C62" w:rsidR="007967A9" w:rsidRPr="007673FA" w:rsidRDefault="00D7157D" w:rsidP="00D7157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22C42484" w14:textId="77777777" w:rsidR="00D7157D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</w:p>
          <w:p w14:paraId="244072FD" w14:textId="233AD32D" w:rsidR="00D7157D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51896F9" w14:textId="77777777" w:rsidR="00D7157D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and </w:t>
            </w:r>
          </w:p>
          <w:p w14:paraId="56E93A17" w14:textId="411D88DE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271" w:type="dxa"/>
            <w:shd w:val="clear" w:color="auto" w:fill="FFFFFF"/>
          </w:tcPr>
          <w:p w14:paraId="6823AC80" w14:textId="45722A45" w:rsidR="007967A9" w:rsidRDefault="00D715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  <w:p w14:paraId="56E93A18" w14:textId="34D9EA97" w:rsidR="00D7157D" w:rsidRPr="00782942" w:rsidRDefault="00D7157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  <w:tc>
          <w:tcPr>
            <w:tcW w:w="2268" w:type="dxa"/>
            <w:shd w:val="clear" w:color="auto" w:fill="FFFFFF"/>
          </w:tcPr>
          <w:p w14:paraId="42583097" w14:textId="77777777" w:rsidR="00D7157D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 xml:space="preserve">e-mail </w:t>
            </w:r>
          </w:p>
          <w:p w14:paraId="56E93A19" w14:textId="69FA4C90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/ phone</w:t>
            </w:r>
          </w:p>
        </w:tc>
        <w:tc>
          <w:tcPr>
            <w:tcW w:w="2157" w:type="dxa"/>
            <w:shd w:val="clear" w:color="auto" w:fill="FFFFFF"/>
          </w:tcPr>
          <w:p w14:paraId="68F79AE3" w14:textId="77777777" w:rsidR="00D7157D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  <w:p w14:paraId="56E93A1A" w14:textId="7DFDD77E" w:rsidR="007967A9" w:rsidRPr="00EF398E" w:rsidRDefault="00D7157D" w:rsidP="00D7157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248B556" w14:textId="77777777" w:rsidR="00D7157D" w:rsidRDefault="008C3569" w:rsidP="00D7157D">
      <w:pPr>
        <w:shd w:val="clear" w:color="auto" w:fill="FFFFFF"/>
        <w:spacing w:after="120"/>
        <w:ind w:right="-993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D7157D" w:rsidRPr="00802C5D">
        <w:rPr>
          <w:rFonts w:ascii="Verdana" w:hAnsi="Verdana" w:cs="Arial"/>
          <w:b/>
          <w:color w:val="002060"/>
          <w:sz w:val="20"/>
          <w:highlight w:val="cyan"/>
          <w:lang w:val="en-GB"/>
        </w:rPr>
        <w:t>Xxxxxxxx</w:t>
      </w:r>
    </w:p>
    <w:p w14:paraId="56E93A26" w14:textId="01EE6942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7157D">
        <w:rPr>
          <w:rFonts w:ascii="Verdana" w:hAnsi="Verdana" w:cs="Calibri"/>
          <w:highlight w:val="cyan"/>
          <w:lang w:val="en-GB"/>
        </w:rPr>
        <w:t>Level</w:t>
      </w:r>
      <w:r w:rsidR="00466BFF" w:rsidRPr="00D7157D">
        <w:rPr>
          <w:rFonts w:ascii="Verdana" w:hAnsi="Verdana" w:cs="Calibri"/>
          <w:highlight w:val="cyan"/>
          <w:lang w:val="en-GB"/>
        </w:rPr>
        <w:t xml:space="preserve"> (select </w:t>
      </w:r>
      <w:r w:rsidR="005F0E76" w:rsidRPr="00D7157D">
        <w:rPr>
          <w:rFonts w:ascii="Verdana" w:hAnsi="Verdana" w:cs="Calibri"/>
          <w:highlight w:val="cyan"/>
          <w:lang w:val="en-GB"/>
        </w:rPr>
        <w:t xml:space="preserve">the main </w:t>
      </w:r>
      <w:r w:rsidR="00466BFF" w:rsidRPr="00D7157D">
        <w:rPr>
          <w:rFonts w:ascii="Verdana" w:hAnsi="Verdana" w:cs="Calibri"/>
          <w:highlight w:val="cyan"/>
          <w:lang w:val="en-GB"/>
        </w:rPr>
        <w:t>one)</w:t>
      </w:r>
      <w:r w:rsidRPr="00D7157D">
        <w:rPr>
          <w:rFonts w:ascii="Verdana" w:hAnsi="Verdana" w:cs="Calibri"/>
          <w:highlight w:val="cyan"/>
          <w:lang w:val="en-GB"/>
        </w:rPr>
        <w:t>:</w:t>
      </w:r>
      <w:r w:rsidRPr="00121A1B">
        <w:rPr>
          <w:rFonts w:ascii="Verdana" w:hAnsi="Verdana" w:cs="Calibri"/>
          <w:lang w:val="en-GB"/>
        </w:rPr>
        <w:t xml:space="preserve">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D7157D">
        <w:rPr>
          <w:rFonts w:ascii="Verdana" w:hAnsi="Verdana" w:cs="Calibri"/>
          <w:highlight w:val="cyan"/>
          <w:lang w:val="en-GB"/>
        </w:rPr>
        <w:t>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D7157D">
        <w:rPr>
          <w:rFonts w:ascii="Verdana" w:hAnsi="Verdana" w:cs="Calibri"/>
          <w:highlight w:val="cyan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D7157D">
        <w:rPr>
          <w:rFonts w:ascii="Verdana" w:hAnsi="Verdana" w:cs="Calibri"/>
          <w:highlight w:val="cyan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BC278F" w14:textId="77777777" w:rsidR="009B07DD" w:rsidRDefault="00377526" w:rsidP="00FF62A2">
            <w:pPr>
              <w:spacing w:after="120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Added value of the mobility </w:t>
            </w:r>
          </w:p>
          <w:p w14:paraId="5A475172" w14:textId="77777777" w:rsidR="009B07DD" w:rsidRDefault="009B07DD" w:rsidP="00FF62A2">
            <w:pPr>
              <w:spacing w:after="120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6FEFA0FE" w14:textId="0DC11F90" w:rsidR="009B07DD" w:rsidRDefault="00F62299" w:rsidP="00FF62A2">
            <w:pPr>
              <w:spacing w:after="120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in the c</w:t>
            </w:r>
            <w:r w:rsidR="009B07D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ontext of the modernisation:</w:t>
            </w:r>
          </w:p>
          <w:p w14:paraId="1912DCC0" w14:textId="77777777" w:rsidR="009B07DD" w:rsidRDefault="009B07DD" w:rsidP="00FF62A2">
            <w:pPr>
              <w:spacing w:after="120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7EBBFFE7" w14:textId="122E82B1" w:rsidR="00153B61" w:rsidRDefault="00F62299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internationalisation strategies of </w:t>
            </w:r>
            <w:r w:rsidR="00377526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institutions involved: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Content of the teaching programme</w:t>
            </w:r>
            <w:r w:rsidR="00743F98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3F644FDF" w14:textId="64393C4B" w:rsidR="0077043A" w:rsidRPr="009743F2" w:rsidRDefault="00BC0758" w:rsidP="0077043A">
            <w:pPr>
              <w:spacing w:before="240" w:after="120"/>
              <w:rPr>
                <w:rFonts w:ascii="Verdana" w:hAnsi="Verdana"/>
                <w:b/>
                <w:color w:val="FF0000"/>
                <w:sz w:val="20"/>
                <w:lang w:val="en-GB"/>
              </w:rPr>
            </w:pPr>
            <w:r>
              <w:rPr>
                <w:rFonts w:ascii="Verdana" w:hAnsi="Verdana"/>
                <w:b/>
                <w:color w:val="FF0000"/>
                <w:sz w:val="20"/>
                <w:lang w:val="en-GB"/>
              </w:rPr>
              <w:t>Vereceğiniz d</w:t>
            </w:r>
            <w:r w:rsidR="0077043A">
              <w:rPr>
                <w:rFonts w:ascii="Verdana" w:hAnsi="Verdana"/>
                <w:b/>
                <w:color w:val="FF0000"/>
                <w:sz w:val="20"/>
                <w:lang w:val="en-GB"/>
              </w:rPr>
              <w:t>ersleri</w:t>
            </w:r>
            <w:r>
              <w:rPr>
                <w:rFonts w:ascii="Verdana" w:hAnsi="Verdana"/>
                <w:b/>
                <w:color w:val="FF0000"/>
                <w:sz w:val="20"/>
                <w:lang w:val="en-GB"/>
              </w:rPr>
              <w:t>n isimlerini</w:t>
            </w:r>
            <w:r w:rsidR="0077043A"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 xml:space="preserve"> yazınız.</w:t>
            </w:r>
          </w:p>
          <w:p w14:paraId="0658FA54" w14:textId="77777777" w:rsidR="0077043A" w:rsidRDefault="0077043A" w:rsidP="0077043A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1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sz w:val="20"/>
                <w:lang w:val="en-GB"/>
              </w:rPr>
              <w:t xml:space="preserve"> Day:  </w:t>
            </w:r>
          </w:p>
          <w:p w14:paraId="1E88139A" w14:textId="77777777" w:rsidR="0077043A" w:rsidRDefault="0077043A" w:rsidP="0077043A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2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6564BF6E" w14:textId="77777777" w:rsidR="0077043A" w:rsidRDefault="0077043A" w:rsidP="0077043A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3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6510B98C" w14:textId="77777777" w:rsidR="0077043A" w:rsidRDefault="0077043A" w:rsidP="0077043A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4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4DAB20DA" w14:textId="77777777" w:rsidR="0077043A" w:rsidRDefault="0077043A" w:rsidP="0077043A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5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 </w:t>
            </w:r>
          </w:p>
          <w:p w14:paraId="56E93A3A" w14:textId="1A1F8A3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A289515" w14:textId="3FCD565E" w:rsidR="009B07DD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Expected outcomes and impact </w:t>
            </w:r>
          </w:p>
          <w:p w14:paraId="43772200" w14:textId="77777777" w:rsidR="009B07DD" w:rsidRDefault="009B07D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25196B2D" w14:textId="00EB7DEF" w:rsidR="009B07DD" w:rsidRDefault="00F62299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on the professional development of the teach</w:t>
            </w:r>
            <w:r w:rsidR="00153B61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ing staff member</w:t>
            </w:r>
            <w:r w:rsidR="009B07D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  <w:r w:rsidR="005F0E76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</w:t>
            </w:r>
          </w:p>
          <w:p w14:paraId="6BE0BA7E" w14:textId="77777777" w:rsidR="009B07DD" w:rsidRDefault="009B07D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56E93A3D" w14:textId="10F11F63" w:rsidR="00377526" w:rsidRDefault="005F0E7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and</w:t>
            </w:r>
            <w:r w:rsidR="00F62299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on the competences of students</w:t>
            </w:r>
            <w:r w:rsidR="009B07D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at both institutions</w:t>
            </w:r>
            <w:r w:rsidR="00377526" w:rsidRPr="00D7157D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2C1077E0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32CAB">
              <w:rPr>
                <w:rFonts w:ascii="Verdana" w:hAnsi="Verdana" w:cs="Calibri"/>
                <w:b/>
                <w:sz w:val="20"/>
                <w:lang w:val="en-GB"/>
              </w:rPr>
              <w:t xml:space="preserve">  </w:t>
            </w:r>
            <w:r w:rsidR="00732CAB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KISMI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HENÜZ 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İMZALAMAYINIZ.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18D87DAC" w14:textId="77777777" w:rsidR="00732CAB" w:rsidRPr="00BF1549" w:rsidRDefault="00377526" w:rsidP="00732CA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32CA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32CAB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</w:p>
          <w:p w14:paraId="56E93A4C" w14:textId="2455DF31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46518D5" w14:textId="77777777" w:rsidR="00732CAB" w:rsidRPr="00BF1549" w:rsidRDefault="00377526" w:rsidP="00732CA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32CA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32CAB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732CAB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732CAB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</w:p>
          <w:p w14:paraId="56E93A51" w14:textId="18737CB0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9660" w14:textId="77777777" w:rsidR="000F3DA4" w:rsidRDefault="000F3DA4">
      <w:r>
        <w:separator/>
      </w:r>
    </w:p>
  </w:endnote>
  <w:endnote w:type="continuationSeparator" w:id="0">
    <w:p w14:paraId="4C81A59F" w14:textId="77777777" w:rsidR="000F3DA4" w:rsidRDefault="000F3DA4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7E2023BD" w14:textId="77777777" w:rsidR="00D7157D" w:rsidRPr="002A2E71" w:rsidRDefault="00D7157D" w:rsidP="0015570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2BD46E5" w14:textId="77777777" w:rsidR="00D7157D" w:rsidRPr="002A2E71" w:rsidRDefault="00D7157D" w:rsidP="0015570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D7157D" w:rsidRPr="002F549E" w:rsidRDefault="00D7157D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D7157D" w:rsidRPr="002F549E" w:rsidRDefault="00D7157D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F5D9F42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9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A54B" w14:textId="77777777" w:rsidR="000F3DA4" w:rsidRDefault="000F3DA4">
      <w:r>
        <w:separator/>
      </w:r>
    </w:p>
  </w:footnote>
  <w:footnote w:type="continuationSeparator" w:id="0">
    <w:p w14:paraId="28A1696C" w14:textId="77777777" w:rsidR="000F3DA4" w:rsidRDefault="000F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7157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Participant</w:t>
                          </w:r>
                          <w:r w:rsidR="00D87A69" w:rsidRPr="00D7157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’</w:t>
                          </w:r>
                          <w:r w:rsidRPr="00D7157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D7157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Participant</w:t>
                    </w:r>
                    <w:r w:rsidR="00D87A69" w:rsidRPr="00D7157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’</w:t>
                    </w:r>
                    <w:r w:rsidRPr="00D7157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cyan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5B35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56C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DA4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1B9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0BA6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44DA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9C3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2CAB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11F"/>
    <w:rsid w:val="007566E8"/>
    <w:rsid w:val="007577D1"/>
    <w:rsid w:val="00760B90"/>
    <w:rsid w:val="00763067"/>
    <w:rsid w:val="00763552"/>
    <w:rsid w:val="00763ABA"/>
    <w:rsid w:val="007673FA"/>
    <w:rsid w:val="00767F39"/>
    <w:rsid w:val="0077043A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19CF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358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07DD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67A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AF1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0758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57D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657E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SonnotMetniChar">
    <w:name w:val="Sonnot Metni Char"/>
    <w:basedOn w:val="VarsaylanParagrafYazTipi"/>
    <w:link w:val="SonnotMetni"/>
    <w:semiHidden/>
    <w:rsid w:val="00D7157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3B405-2ADE-4B72-9DD3-5E72ECEE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5</Pages>
  <Words>573</Words>
  <Characters>3272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ozge-topcuoglu</cp:lastModifiedBy>
  <cp:revision>15</cp:revision>
  <cp:lastPrinted>2013-11-06T08:46:00Z</cp:lastPrinted>
  <dcterms:created xsi:type="dcterms:W3CDTF">2025-12-08T09:04:00Z</dcterms:created>
  <dcterms:modified xsi:type="dcterms:W3CDTF">2025-12-31T07:26:00Z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